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>附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表</w:t>
      </w:r>
      <w:r>
        <w:rPr>
          <w:rFonts w:hint="eastAsia" w:ascii="宋体" w:hAnsi="宋体" w:cs="宋体"/>
          <w:color w:val="auto"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 xml:space="preserve">：     </w:t>
      </w:r>
      <w: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  <w:t xml:space="preserve">     </w:t>
      </w:r>
      <w:bookmarkStart w:id="1" w:name="_GoBack"/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项目投资后评价主要内容</w:t>
      </w:r>
      <w:bookmarkEnd w:id="1"/>
    </w:p>
    <w:tbl>
      <w:tblPr>
        <w:tblStyle w:val="7"/>
        <w:tblpPr w:leftFromText="180" w:rightFromText="180" w:vertAnchor="page" w:horzAnchor="page" w:tblpX="1800" w:tblpY="2222"/>
        <w:tblOverlap w:val="never"/>
        <w:tblW w:w="88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358"/>
        <w:gridCol w:w="6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项目概况</w:t>
            </w: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对项目目标、建设内容、投资估算、前期审批情况、资金来源及到位情况、实施进度、批准概算及执行情况的评估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全过程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评价</w:t>
            </w: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对项目立项决策阶段评价。包括项目可行性研究、项目决策和批准程序等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对项目准备阶段评价。包括：项目合同及投资协议的签订与执行，项目设计施工和招投标，资金来源和融资方案、开工准备等。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项目实施阶段评价。包括：项目合同及投资协议的执行、项目“三大控制”(进度、投资、质量)、资金支付及财务核算、项目管理等。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实施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效果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评价</w:t>
            </w: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主要是对项目预期的财务目标和经济目标、技术水平、社会效益、环境效益进行综合评价。包括投资额度、建设期、试运营期、营业收入、成本构成、投资回收期等实现情况；项目建设与运行达到设计能力和技术要求的情况；项目管理体制、管理水平、产品质量、竞争能力，以及宏观政策、市场环境、资源供给对项目持续发展能力的影响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评价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总结</w:t>
            </w:r>
          </w:p>
        </w:tc>
        <w:tc>
          <w:tcPr>
            <w:tcW w:w="6881" w:type="dxa"/>
            <w:vAlign w:val="top"/>
          </w:tcPr>
          <w:p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项目投资成效的评价。根据调查评价情况，针对项目实施全过程的实际情况与预计情况进行比较，衡量和分析实际情况与预测情况发生偏离的程度，说明项目成功或失败的原因，全面总结项目管理的经验教训。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投资项目决策的评价。通过后评价对建设过程中的决策依据、真实性、可靠性进行回顾分析，判断最初项目投资决策的正确与否。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经营管理的评价。通过后评价，总结投资项目管理的经验和存在问题，对因决策失误或投产后经营管理不善、生产经营处于困境的项目，提出解决的措施。对发展前景不乐观的项目制定补救方案，使项目尽快达到预期效益。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项目持续性评价。根据项目现状，结合国家的政策、资源条件和市场环境对项目的可持续性进行分析，预测产品的市场竞争力，从项目内部因素和外部条件等方面评价整个项目的持续发展能力。</w:t>
            </w:r>
          </w:p>
        </w:tc>
      </w:tr>
    </w:tbl>
    <w:p>
      <w:pPr>
        <w:pStyle w:val="2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  <w:sectPr>
          <w:footerReference r:id="rId3" w:type="default"/>
          <w:pgSz w:w="11910" w:h="16840"/>
          <w:pgMar w:top="1380" w:right="1540" w:bottom="1180" w:left="1680" w:header="0" w:footer="993" w:gutter="0"/>
          <w:pgNumType w:fmt="decimal"/>
          <w:cols w:space="720" w:num="1"/>
        </w:sect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jc w:val="both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>附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表</w:t>
      </w:r>
      <w: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 xml:space="preserve">：   </w:t>
      </w:r>
      <w: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>领取</w:t>
      </w:r>
      <w: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  <w:t>竞争性磋商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 xml:space="preserve">文件一览表 </w:t>
      </w:r>
    </w:p>
    <w:p>
      <w:pPr>
        <w:pStyle w:val="2"/>
        <w:ind w:firstLine="340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jc w:val="left"/>
        <w:outlineLvl w:val="0"/>
        <w:rPr>
          <w:rFonts w:hint="eastAsia" w:ascii="宋体" w:hAnsi="宋体" w:eastAsia="宋体" w:cs="宋体"/>
          <w:color w:val="auto"/>
          <w:sz w:val="16"/>
          <w:szCs w:val="16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16"/>
          <w:szCs w:val="16"/>
          <w:highlight w:val="none"/>
        </w:rPr>
        <w:t>项目名称：</w:t>
      </w:r>
      <w:bookmarkStart w:id="0" w:name="OLE_LINK1"/>
      <w:r>
        <w:rPr>
          <w:rFonts w:hint="eastAsia" w:ascii="宋体" w:hAnsi="宋体" w:eastAsia="宋体" w:cs="宋体"/>
          <w:color w:val="auto"/>
          <w:sz w:val="16"/>
          <w:szCs w:val="16"/>
          <w:highlight w:val="none"/>
        </w:rPr>
        <w:t xml:space="preserve"> </w:t>
      </w:r>
      <w:r>
        <w:rPr>
          <w:rFonts w:hint="eastAsia" w:ascii="宋体" w:hAnsi="宋体" w:eastAsia="宋体" w:cs="宋体"/>
          <w:color w:val="auto"/>
          <w:sz w:val="16"/>
          <w:szCs w:val="16"/>
          <w:highlight w:val="none"/>
          <w:lang w:eastAsia="zh-CN"/>
        </w:rPr>
        <w:t>淮安淮海天宸、淮安珺悦、南京水沐云筑、南京水沐雍荣府、南京锦麟融誉府项目投资后评价服务</w:t>
      </w:r>
    </w:p>
    <w:bookmarkEnd w:id="0"/>
    <w:p>
      <w:pPr>
        <w:jc w:val="lef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 xml:space="preserve">                        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 xml:space="preserve">  </w:t>
      </w:r>
    </w:p>
    <w:tbl>
      <w:tblPr>
        <w:tblStyle w:val="6"/>
        <w:tblpPr w:leftFromText="180" w:rightFromText="180" w:vertAnchor="page" w:horzAnchor="page" w:tblpX="1501" w:tblpY="3701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309"/>
        <w:gridCol w:w="1522"/>
        <w:gridCol w:w="1370"/>
        <w:gridCol w:w="1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响应人名称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经办人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联系电话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邮箱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领取时间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</w:tr>
    </w:tbl>
    <w:p>
      <w:pPr>
        <w:ind w:left="6159" w:leftChars="266" w:hanging="5600" w:hangingChars="2000"/>
        <w:jc w:val="lef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</w:p>
    <w:p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color w:val="auto"/>
          <w:kern w:val="0"/>
          <w:sz w:val="3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采购人：江苏水利房地产开发有限公司</w:t>
      </w:r>
      <w:r>
        <w:rPr>
          <w:rFonts w:hint="eastAsia" w:ascii="宋体" w:hAnsi="宋体" w:eastAsia="宋体" w:cs="宋体"/>
          <w:color w:val="auto"/>
          <w:kern w:val="0"/>
          <w:sz w:val="34"/>
          <w:highlight w:val="none"/>
          <w:lang w:val="en-US" w:eastAsia="zh-CN"/>
        </w:rPr>
        <w:t xml:space="preserve"> </w:t>
      </w:r>
    </w:p>
    <w:p>
      <w:pPr>
        <w:ind w:left="6159" w:leftChars="266" w:hanging="5600" w:hangingChars="2000"/>
        <w:jc w:val="lef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</w:p>
    <w:p>
      <w:pPr>
        <w:ind w:left="6146" w:leftChars="2660" w:hanging="560" w:hanging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202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日</w:t>
      </w:r>
    </w:p>
    <w:p>
      <w:pPr>
        <w:pStyle w:val="2"/>
        <w:ind w:firstLine="480" w:firstLineChars="200"/>
        <w:jc w:val="both"/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</w:pPr>
    </w:p>
    <w:p>
      <w:pPr>
        <w:pStyle w:val="2"/>
        <w:ind w:firstLine="480" w:firstLineChars="200"/>
        <w:jc w:val="both"/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</w:pPr>
    </w:p>
    <w:p>
      <w:pPr>
        <w:pStyle w:val="2"/>
        <w:ind w:firstLine="480" w:firstLineChars="200"/>
        <w:jc w:val="both"/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</w:pPr>
    </w:p>
    <w:p>
      <w:pPr>
        <w:pStyle w:val="2"/>
        <w:ind w:firstLine="480" w:firstLineChars="200"/>
        <w:jc w:val="both"/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</w:pPr>
    </w:p>
    <w:p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0"/>
          <w:highlight w:val="none"/>
        </w:rPr>
        <w:t>注：供应商填写并加盖公章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403FDC"/>
    <w:multiLevelType w:val="singleLevel"/>
    <w:tmpl w:val="A9403F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B1E3A3F"/>
    <w:multiLevelType w:val="multilevel"/>
    <w:tmpl w:val="3B1E3A3F"/>
    <w:lvl w:ilvl="0" w:tentative="0">
      <w:start w:val="1"/>
      <w:numFmt w:val="decimal"/>
      <w:pStyle w:val="4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075DE8"/>
    <w:rsid w:val="4107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utoSpaceDE w:val="0"/>
      <w:autoSpaceDN w:val="0"/>
      <w:adjustRightInd w:val="0"/>
      <w:snapToGrid w:val="0"/>
      <w:spacing w:before="340" w:after="330" w:line="578" w:lineRule="auto"/>
      <w:outlineLvl w:val="0"/>
    </w:pPr>
    <w:rPr>
      <w:rFonts w:ascii="宋体"/>
      <w:b/>
      <w:color w:val="000000"/>
      <w:kern w:val="44"/>
      <w:sz w:val="44"/>
      <w:szCs w:val="20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tabs>
        <w:tab w:val="left" w:pos="0"/>
        <w:tab w:val="left" w:pos="993"/>
        <w:tab w:val="left" w:pos="1134"/>
      </w:tabs>
      <w:ind w:firstLine="420" w:firstLineChars="100"/>
    </w:pPr>
  </w:style>
  <w:style w:type="paragraph" w:styleId="3">
    <w:name w:val="Body Text"/>
    <w:basedOn w:val="1"/>
    <w:next w:val="1"/>
    <w:uiPriority w:val="0"/>
    <w:pPr>
      <w:jc w:val="center"/>
    </w:pPr>
    <w:rPr>
      <w:rFonts w:eastAsia="仿宋_GB2312"/>
      <w:sz w:val="2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2024-05-11T09:14:00Z</dcterms:created>
  <dc:creator>罗佳莹（挂职）</dc:creator>
  <cp:lastModifiedBy>罗佳莹（挂职）</cp:lastModifiedBy>
  <dcterms:modified xsi:type="dcterms:W3CDTF">2024-05-11T09:15:32Z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